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F" w:rsidRPr="00340C49" w:rsidRDefault="00E85ACF" w:rsidP="00E85ACF">
      <w:pPr>
        <w:widowControl/>
        <w:wordWrap/>
        <w:autoSpaceDE/>
        <w:autoSpaceDN/>
        <w:spacing w:before="100" w:beforeAutospacing="1" w:after="100" w:afterAutospacing="1"/>
        <w:jc w:val="left"/>
        <w:outlineLvl w:val="2"/>
        <w:rPr>
          <w:rFonts w:ascii="Times New Roman" w:eastAsia="굴림" w:hAnsi="Times New Roman" w:cs="Times New Roman"/>
          <w:b/>
          <w:bCs/>
          <w:kern w:val="0"/>
          <w:sz w:val="22"/>
        </w:rPr>
      </w:pPr>
      <w:bookmarkStart w:id="0" w:name="Sec10.3.5"/>
      <w:bookmarkStart w:id="1" w:name="_GoBack"/>
      <w:bookmarkEnd w:id="1"/>
      <w:r w:rsidRPr="00340C49">
        <w:rPr>
          <w:rFonts w:ascii="Times New Roman" w:eastAsia="굴림" w:hAnsi="Times New Roman" w:cs="Times New Roman"/>
          <w:b/>
          <w:bCs/>
          <w:kern w:val="0"/>
          <w:sz w:val="22"/>
        </w:rPr>
        <w:t>Vancouver Reference Style</w:t>
      </w:r>
    </w:p>
    <w:bookmarkEnd w:id="0"/>
    <w:p w:rsidR="00E85ACF" w:rsidRPr="00340C49" w:rsidRDefault="00E85ACF" w:rsidP="00E85A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340C49">
        <w:rPr>
          <w:rFonts w:ascii="Times New Roman" w:eastAsia="굴림" w:hAnsi="Times New Roman" w:cs="Times New Roman"/>
          <w:kern w:val="0"/>
          <w:sz w:val="22"/>
        </w:rPr>
        <w:t xml:space="preserve">For a full description of this reference style, including numerous examples, see </w:t>
      </w:r>
      <w:hyperlink r:id="rId5" w:history="1">
        <w:r w:rsidRPr="00340C49">
          <w:rPr>
            <w:rFonts w:ascii="Times New Roman" w:eastAsia="굴림" w:hAnsi="Times New Roman" w:cs="Times New Roman"/>
            <w:color w:val="0000FF"/>
            <w:kern w:val="0"/>
            <w:sz w:val="22"/>
            <w:u w:val="single"/>
          </w:rPr>
          <w:t>http://www.nlm.nih.gov/bsd/uniform_requirements.html</w:t>
        </w:r>
      </w:hyperlink>
      <w:r w:rsidRPr="00340C49">
        <w:rPr>
          <w:rFonts w:ascii="Times New Roman" w:eastAsia="굴림" w:hAnsi="Times New Roman" w:cs="Times New Roman"/>
          <w:kern w:val="0"/>
          <w:sz w:val="22"/>
        </w:rPr>
        <w:t>, as referenced from the site that is the homepage of the larger "Vancouver" system (</w:t>
      </w:r>
      <w:hyperlink r:id="rId6" w:history="1">
        <w:r w:rsidRPr="00340C49">
          <w:rPr>
            <w:rFonts w:ascii="Times New Roman" w:eastAsia="굴림" w:hAnsi="Times New Roman" w:cs="Times New Roman"/>
            <w:color w:val="0000FF"/>
            <w:kern w:val="0"/>
            <w:sz w:val="22"/>
            <w:u w:val="single"/>
          </w:rPr>
          <w:t>http://www.icmje.org/</w:t>
        </w:r>
      </w:hyperlink>
      <w:r w:rsidRPr="00340C49">
        <w:rPr>
          <w:rFonts w:ascii="Times New Roman" w:eastAsia="굴림" w:hAnsi="Times New Roman" w:cs="Times New Roman"/>
          <w:kern w:val="0"/>
          <w:sz w:val="22"/>
        </w:rPr>
        <w:t xml:space="preserve">). Examples of the use of this style at Springer for references are given in Table </w:t>
      </w:r>
      <w:hyperlink r:id="rId7" w:anchor="Tab10.4" w:history="1">
        <w:r w:rsidRPr="00340C49">
          <w:rPr>
            <w:rFonts w:ascii="Times New Roman" w:eastAsia="굴림" w:hAnsi="Times New Roman" w:cs="Times New Roman"/>
            <w:color w:val="0000FF"/>
            <w:kern w:val="0"/>
            <w:sz w:val="22"/>
            <w:u w:val="single"/>
          </w:rPr>
          <w:t>10.4</w:t>
        </w:r>
      </w:hyperlink>
      <w:r w:rsidRPr="00340C49">
        <w:rPr>
          <w:rFonts w:ascii="Times New Roman" w:eastAsia="굴림" w:hAnsi="Times New Roman" w:cs="Times New Roman"/>
          <w:kern w:val="0"/>
          <w:sz w:val="22"/>
        </w:rPr>
        <w:t xml:space="preserve">. </w:t>
      </w:r>
      <w:r>
        <w:rPr>
          <w:rFonts w:ascii="Times New Roman" w:eastAsia="굴림" w:hAnsi="Times New Roman" w:cs="Times New Roman" w:hint="eastAsia"/>
          <w:kern w:val="0"/>
          <w:sz w:val="22"/>
        </w:rPr>
        <w:t>E</w:t>
      </w:r>
      <w:r w:rsidRPr="00340C49">
        <w:rPr>
          <w:rFonts w:ascii="Times New Roman" w:eastAsia="굴림" w:hAnsi="Times New Roman" w:cs="Times New Roman"/>
          <w:kern w:val="0"/>
          <w:sz w:val="22"/>
        </w:rPr>
        <w:t>ither form of citation (i.e., name–year or numbered) may be used with Vancouver-styled references.</w:t>
      </w:r>
      <w:bookmarkStart w:id="2" w:name="Tab10.4"/>
      <w:bookmarkEnd w:id="2"/>
      <w:r w:rsidRPr="00340C49">
        <w:rPr>
          <w:rFonts w:ascii="Times New Roman" w:eastAsia="굴림" w:hAnsi="Times New Roman" w:cs="Times New Roman"/>
          <w:kern w:val="0"/>
          <w:sz w:val="22"/>
        </w:rPr>
        <w:t xml:space="preserve"> </w:t>
      </w:r>
    </w:p>
    <w:p w:rsidR="00E85ACF" w:rsidRPr="00340C49" w:rsidRDefault="00E85ACF" w:rsidP="00E85A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340C49">
        <w:rPr>
          <w:rFonts w:ascii="Times New Roman" w:eastAsia="굴림" w:hAnsi="Times New Roman" w:cs="Times New Roman"/>
          <w:b/>
          <w:bCs/>
          <w:kern w:val="0"/>
          <w:sz w:val="22"/>
        </w:rPr>
        <w:t xml:space="preserve">Table 10.4 </w:t>
      </w:r>
      <w:r w:rsidRPr="00340C49">
        <w:rPr>
          <w:rFonts w:ascii="Times New Roman" w:eastAsia="굴림" w:hAnsi="Times New Roman" w:cs="Times New Roman"/>
          <w:kern w:val="0"/>
          <w:sz w:val="22"/>
        </w:rPr>
        <w:t xml:space="preserve">Examples of several different kinds of references in Vancouver style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331"/>
        <w:gridCol w:w="5989"/>
      </w:tblGrid>
      <w:tr w:rsidR="00E85ACF" w:rsidRPr="00340C49" w:rsidTr="0067793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Number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Example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Journal article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Smith JJ. The world of science. Am J Sci. 1999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;36:234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–5.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Journal article with DOI (and with page numbers)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O'Mahony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S, Rose SL,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Chilvers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AJ, Ballinger JR, Solanki CK, Barber RW, et al. Finding an optimal method for imaging lymphatic vessels of the upper limb.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Eur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J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Nucl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Med Mol Imaging. 2004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;31:555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–63. 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doi: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10.1007/s00259-003-1399-3.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Journal article by DOI (before issue publication with page numbers)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O'Mahony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S, Rose SL,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Chilvers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AJ, Ballinger JR, Solanki CK, Barber RW, et al. Finding an optimal method for imaging lymphatic vessels of the upper limb.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Eur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J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Nucl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Med Mol Imaging. 2004. 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doi: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10.1007/s00259-003-1399-3.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Article in electronic journal by DOI (no paginated version)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Slifka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MK,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Whitton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JL. Clinical implications of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dysregulated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cytokine production. Dig J Mol Med. 2000. 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doi: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10.1007/s801090000086.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Journal article in a supplement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Frumin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AM, Nussbaum J, Esposito M. Functional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asplenia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: demonstration of splenic activity by bone marrow scan. Blood 1979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;59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Suppl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1:26–32.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Book chapter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Wyllie AH, Kerr JFR, Currie AR. Cell death: the significance of apoptosis. In: Bourne GH,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Danielli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JF,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Jeon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KW, editors. International review of cytology. London: Academic; 1980. p. 251–306.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OnlineFirst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chapter in a series (without a volume designation but with a DOI)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Saito Y,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Hyuga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H. Rate equation approaches to amplification of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enantiomeric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excess and chiral symmetry breaking. Top </w:t>
            </w: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Curr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Chem. 2007. </w:t>
            </w:r>
            <w:proofErr w:type="gram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doi:</w:t>
            </w:r>
            <w:proofErr w:type="gram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10.1007/128_2006_108.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Book, authored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Blenkinsopp A, Paxton P. Symptoms in the pharmacy: a guide to the management of common illness. 3rd ed. Oxford: Blackwell Science; 1998.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Online document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Doe J. Title of subordinate document. In: The dictionary of substances and their effects. Royal Society of Chemistry. 1999. http://www.rsc.org/dose/title of subordinate document. Accessed 15 Jan 1999.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Online database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>Healthwise</w:t>
            </w:r>
            <w:proofErr w:type="spellEnd"/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Knowledgebase. US Pharmacopeia, Rockville. 1998. http://www.healthwise.org. Accessed 21 Sept 1998.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Supplementary material/private homepage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Doe J. Title of supplementary material. 2000. http://www.privatehomepage.com. Accessed 22 Feb 2000.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University site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Doe, J.: Title of preprint. http://www.uni-heidelberg.de/mydata.html (1999). Accessed 25 Dec 1999.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FTP site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Doe, J.: Trivial HTTP, RFC2169. ftp://ftp.isi.edu/in-notes/rfc2169.txt (1999). Accessed 12 Nov 1999. </w:t>
            </w:r>
          </w:p>
        </w:tc>
      </w:tr>
      <w:tr w:rsidR="00E85ACF" w:rsidRPr="00340C49" w:rsidTr="00677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Organization site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CF" w:rsidRPr="00340C49" w:rsidRDefault="00E85ACF" w:rsidP="0067793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340C4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ISSN International Centre: The ISSN register. http://www.issn.org (2006). Accessed 20 Feb 2007. </w:t>
            </w:r>
          </w:p>
        </w:tc>
      </w:tr>
    </w:tbl>
    <w:p w:rsidR="00BF47A6" w:rsidRDefault="00BF47A6"/>
    <w:sectPr w:rsidR="00BF47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F"/>
    <w:rsid w:val="00BF47A6"/>
    <w:rsid w:val="00E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-dordrecht.springer-sbm.com/Production/Flow/techdoc/Downloads/Style_Manua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mje.org/" TargetMode="External"/><Relationship Id="rId5" Type="http://schemas.openxmlformats.org/officeDocument/2006/relationships/hyperlink" Target="http://www.nlm.nih.gov/bsd/uniform_requireme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Seo, Ellen, Springer Korea</dc:creator>
  <cp:lastModifiedBy>Seo, Ellen, Springer Korea</cp:lastModifiedBy>
  <cp:revision>1</cp:revision>
  <dcterms:created xsi:type="dcterms:W3CDTF">2016-10-20T02:21:00Z</dcterms:created>
  <dcterms:modified xsi:type="dcterms:W3CDTF">2016-10-20T02:25:00Z</dcterms:modified>
</cp:coreProperties>
</file>